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A9" w:rsidRPr="001B4D79" w:rsidRDefault="00804358" w:rsidP="005433F1">
      <w:pPr>
        <w:shd w:val="clear" w:color="auto" w:fill="E7E6E6" w:themeFill="background2"/>
        <w:rPr>
          <w:b/>
          <w:sz w:val="20"/>
          <w:szCs w:val="20"/>
        </w:rPr>
      </w:pPr>
      <w:r w:rsidRPr="005433F1">
        <w:rPr>
          <w:szCs w:val="24"/>
        </w:rPr>
        <w:t xml:space="preserve">Optional:  </w:t>
      </w:r>
      <w:r w:rsidR="007D24A9" w:rsidRPr="005433F1">
        <w:rPr>
          <w:szCs w:val="24"/>
        </w:rPr>
        <w:t>Smarter Balanced Interim Assessment</w:t>
      </w:r>
      <w:r w:rsidR="00DA3B01" w:rsidRPr="005433F1">
        <w:rPr>
          <w:szCs w:val="24"/>
        </w:rPr>
        <w:t xml:space="preserve"> </w:t>
      </w:r>
      <w:r w:rsidR="007D24A9" w:rsidRPr="005433F1">
        <w:rPr>
          <w:szCs w:val="24"/>
        </w:rPr>
        <w:t>2019-2020</w:t>
      </w:r>
    </w:p>
    <w:p w:rsidR="005433F1" w:rsidRDefault="005433F1" w:rsidP="00DA3B01">
      <w:pPr>
        <w:rPr>
          <w:sz w:val="20"/>
          <w:szCs w:val="20"/>
        </w:rPr>
      </w:pPr>
    </w:p>
    <w:p w:rsidR="007D24A9" w:rsidRPr="005433F1" w:rsidRDefault="007D24A9" w:rsidP="00DA3B01">
      <w:pPr>
        <w:rPr>
          <w:sz w:val="20"/>
          <w:szCs w:val="20"/>
        </w:rPr>
      </w:pPr>
      <w:r w:rsidRPr="005433F1">
        <w:rPr>
          <w:sz w:val="20"/>
          <w:szCs w:val="20"/>
        </w:rPr>
        <w:t xml:space="preserve">The Smarter Balanced Interim Assessments are aligned to the Nevada Academic Content Standards and are a key component of the balanced assessment system that provides actionable data to </w:t>
      </w:r>
      <w:r w:rsidR="00491FD0" w:rsidRPr="005433F1">
        <w:rPr>
          <w:sz w:val="20"/>
          <w:szCs w:val="20"/>
        </w:rPr>
        <w:t>measure a student’s progress.</w:t>
      </w:r>
      <w:r w:rsidRPr="005433F1">
        <w:rPr>
          <w:sz w:val="20"/>
          <w:szCs w:val="20"/>
        </w:rPr>
        <w:t xml:space="preserve">  The interim assessments are designed to</w:t>
      </w:r>
      <w:r w:rsidR="00491FD0" w:rsidRPr="005433F1">
        <w:rPr>
          <w:sz w:val="20"/>
          <w:szCs w:val="20"/>
        </w:rPr>
        <w:t xml:space="preserve"> allow all students to demonstrate what they know and can do. Students will</w:t>
      </w:r>
      <w:r w:rsidRPr="005433F1">
        <w:rPr>
          <w:sz w:val="20"/>
          <w:szCs w:val="20"/>
        </w:rPr>
        <w:t xml:space="preserve"> have the opportunity to analyze a</w:t>
      </w:r>
      <w:r w:rsidR="00491FD0" w:rsidRPr="005433F1">
        <w:rPr>
          <w:sz w:val="20"/>
          <w:szCs w:val="20"/>
        </w:rPr>
        <w:t>n</w:t>
      </w:r>
      <w:r w:rsidRPr="005433F1">
        <w:rPr>
          <w:sz w:val="20"/>
          <w:szCs w:val="20"/>
        </w:rPr>
        <w:t>d problem solve the questions</w:t>
      </w:r>
      <w:r w:rsidR="00397C80">
        <w:rPr>
          <w:sz w:val="20"/>
          <w:szCs w:val="20"/>
        </w:rPr>
        <w:t xml:space="preserve"> in mathematics and English Lan</w:t>
      </w:r>
      <w:r w:rsidR="00A531C8">
        <w:rPr>
          <w:sz w:val="20"/>
          <w:szCs w:val="20"/>
        </w:rPr>
        <w:t xml:space="preserve">guage </w:t>
      </w:r>
      <w:r w:rsidR="00447C05">
        <w:rPr>
          <w:sz w:val="20"/>
          <w:szCs w:val="20"/>
        </w:rPr>
        <w:t xml:space="preserve">Arts </w:t>
      </w:r>
      <w:r w:rsidR="00491FD0" w:rsidRPr="005433F1">
        <w:rPr>
          <w:sz w:val="20"/>
          <w:szCs w:val="20"/>
        </w:rPr>
        <w:t>on the interim assessments and</w:t>
      </w:r>
      <w:r w:rsidRPr="005433F1">
        <w:rPr>
          <w:sz w:val="20"/>
          <w:szCs w:val="20"/>
        </w:rPr>
        <w:t xml:space="preserve"> will be better prepared for the Criterion Reference Test (CRT) administered in spring of 2020.</w:t>
      </w:r>
    </w:p>
    <w:p w:rsidR="007D24A9" w:rsidRPr="001B4D79" w:rsidRDefault="007D24A9" w:rsidP="003D14B2">
      <w:pPr>
        <w:jc w:val="both"/>
        <w:rPr>
          <w:sz w:val="20"/>
          <w:szCs w:val="20"/>
        </w:rPr>
      </w:pPr>
    </w:p>
    <w:p w:rsidR="007D24A9" w:rsidRPr="005433F1" w:rsidRDefault="007D24A9" w:rsidP="00DA3B01">
      <w:pPr>
        <w:rPr>
          <w:sz w:val="20"/>
          <w:szCs w:val="20"/>
        </w:rPr>
      </w:pPr>
      <w:r w:rsidRPr="005433F1">
        <w:rPr>
          <w:sz w:val="20"/>
          <w:szCs w:val="20"/>
        </w:rPr>
        <w:t>The interim assessments are not mandated and may be used at the discretion of the school at any time during the 2019-2020 testing window.</w:t>
      </w:r>
    </w:p>
    <w:p w:rsidR="007D24A9" w:rsidRDefault="007D24A9" w:rsidP="00DA3B0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060"/>
        <w:gridCol w:w="2070"/>
      </w:tblGrid>
      <w:tr w:rsidR="007D24A9" w:rsidTr="005433F1">
        <w:trPr>
          <w:trHeight w:val="413"/>
        </w:trPr>
        <w:tc>
          <w:tcPr>
            <w:tcW w:w="3685" w:type="dxa"/>
            <w:shd w:val="clear" w:color="auto" w:fill="E7E6E6" w:themeFill="background2"/>
            <w:vAlign w:val="center"/>
          </w:tcPr>
          <w:p w:rsidR="007D24A9" w:rsidRPr="005433F1" w:rsidRDefault="007D24A9" w:rsidP="003D14B2">
            <w:pPr>
              <w:jc w:val="center"/>
              <w:rPr>
                <w:b/>
                <w:sz w:val="22"/>
              </w:rPr>
            </w:pPr>
            <w:r w:rsidRPr="005433F1">
              <w:rPr>
                <w:b/>
                <w:sz w:val="22"/>
              </w:rPr>
              <w:t>TESTI</w:t>
            </w:r>
            <w:bookmarkStart w:id="0" w:name="_GoBack"/>
            <w:bookmarkEnd w:id="0"/>
            <w:r w:rsidRPr="005433F1">
              <w:rPr>
                <w:b/>
                <w:sz w:val="22"/>
              </w:rPr>
              <w:t>NG WINDOW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7D24A9" w:rsidRPr="005433F1" w:rsidRDefault="007D24A9" w:rsidP="003D14B2">
            <w:pPr>
              <w:jc w:val="center"/>
              <w:rPr>
                <w:b/>
                <w:sz w:val="22"/>
              </w:rPr>
            </w:pPr>
            <w:r w:rsidRPr="005433F1">
              <w:rPr>
                <w:b/>
                <w:sz w:val="22"/>
              </w:rPr>
              <w:t>TEST</w:t>
            </w:r>
            <w:r w:rsidR="00C539BF">
              <w:rPr>
                <w:b/>
                <w:sz w:val="22"/>
              </w:rPr>
              <w:t>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7D24A9" w:rsidRPr="005433F1" w:rsidRDefault="007D24A9" w:rsidP="003D14B2">
            <w:pPr>
              <w:jc w:val="center"/>
              <w:rPr>
                <w:b/>
                <w:sz w:val="22"/>
              </w:rPr>
            </w:pPr>
            <w:r w:rsidRPr="005433F1">
              <w:rPr>
                <w:b/>
                <w:sz w:val="22"/>
              </w:rPr>
              <w:t>GRADE LEVEL</w:t>
            </w:r>
          </w:p>
        </w:tc>
      </w:tr>
      <w:tr w:rsidR="007D24A9" w:rsidRPr="001B4D79" w:rsidTr="005433F1">
        <w:trPr>
          <w:trHeight w:val="755"/>
        </w:trPr>
        <w:tc>
          <w:tcPr>
            <w:tcW w:w="3685" w:type="dxa"/>
            <w:vAlign w:val="center"/>
          </w:tcPr>
          <w:p w:rsidR="007D24A9" w:rsidRPr="005433F1" w:rsidRDefault="007D24A9" w:rsidP="00351431">
            <w:pPr>
              <w:jc w:val="center"/>
              <w:rPr>
                <w:sz w:val="20"/>
                <w:szCs w:val="20"/>
              </w:rPr>
            </w:pPr>
            <w:r w:rsidRPr="005433F1">
              <w:rPr>
                <w:sz w:val="20"/>
                <w:szCs w:val="20"/>
              </w:rPr>
              <w:t>September 30</w:t>
            </w:r>
            <w:r w:rsidR="003D14B2" w:rsidRPr="005433F1">
              <w:rPr>
                <w:sz w:val="20"/>
                <w:szCs w:val="20"/>
              </w:rPr>
              <w:t>, 2019</w:t>
            </w:r>
            <w:r w:rsidRPr="005433F1">
              <w:rPr>
                <w:sz w:val="20"/>
                <w:szCs w:val="20"/>
              </w:rPr>
              <w:t>-May 15</w:t>
            </w:r>
            <w:r w:rsidR="003D14B2" w:rsidRPr="005433F1">
              <w:rPr>
                <w:sz w:val="20"/>
                <w:szCs w:val="20"/>
              </w:rPr>
              <w:t>, 2020</w:t>
            </w:r>
          </w:p>
        </w:tc>
        <w:tc>
          <w:tcPr>
            <w:tcW w:w="3060" w:type="dxa"/>
            <w:vAlign w:val="center"/>
          </w:tcPr>
          <w:p w:rsidR="00351431" w:rsidRPr="005433F1" w:rsidRDefault="003D14B2" w:rsidP="00C539BF">
            <w:pPr>
              <w:jc w:val="center"/>
              <w:rPr>
                <w:sz w:val="20"/>
                <w:szCs w:val="20"/>
              </w:rPr>
            </w:pPr>
            <w:r w:rsidRPr="005433F1">
              <w:rPr>
                <w:sz w:val="20"/>
                <w:szCs w:val="20"/>
              </w:rPr>
              <w:t>English Language Arts (ELA) and Mathematics</w:t>
            </w:r>
          </w:p>
        </w:tc>
        <w:tc>
          <w:tcPr>
            <w:tcW w:w="2070" w:type="dxa"/>
            <w:vAlign w:val="center"/>
          </w:tcPr>
          <w:p w:rsidR="003D14B2" w:rsidRPr="005433F1" w:rsidRDefault="001B4D79" w:rsidP="00351431">
            <w:pPr>
              <w:jc w:val="center"/>
              <w:rPr>
                <w:sz w:val="20"/>
                <w:szCs w:val="20"/>
              </w:rPr>
            </w:pPr>
            <w:r w:rsidRPr="005433F1">
              <w:rPr>
                <w:sz w:val="20"/>
                <w:szCs w:val="20"/>
              </w:rPr>
              <w:t xml:space="preserve">3 through </w:t>
            </w:r>
            <w:r w:rsidR="003D14B2" w:rsidRPr="005433F1">
              <w:rPr>
                <w:sz w:val="20"/>
                <w:szCs w:val="20"/>
              </w:rPr>
              <w:t>8</w:t>
            </w:r>
          </w:p>
        </w:tc>
      </w:tr>
    </w:tbl>
    <w:p w:rsidR="007D24A9" w:rsidRPr="001B4D79" w:rsidRDefault="007D24A9" w:rsidP="00804358">
      <w:pPr>
        <w:jc w:val="right"/>
        <w:rPr>
          <w:sz w:val="22"/>
        </w:rPr>
      </w:pPr>
    </w:p>
    <w:p w:rsidR="003D14B2" w:rsidRPr="005433F1" w:rsidRDefault="003D14B2" w:rsidP="007D24A9">
      <w:pPr>
        <w:rPr>
          <w:sz w:val="20"/>
          <w:szCs w:val="20"/>
        </w:rPr>
      </w:pPr>
      <w:r w:rsidRPr="005433F1">
        <w:rPr>
          <w:sz w:val="20"/>
          <w:szCs w:val="20"/>
        </w:rPr>
        <w:t>The inter</w:t>
      </w:r>
      <w:r w:rsidR="00C539BF">
        <w:rPr>
          <w:sz w:val="20"/>
          <w:szCs w:val="20"/>
        </w:rPr>
        <w:t>ims consist of the following</w:t>
      </w:r>
      <w:r w:rsidR="00A531C8">
        <w:rPr>
          <w:sz w:val="20"/>
          <w:szCs w:val="20"/>
        </w:rPr>
        <w:t xml:space="preserve"> assessment types</w:t>
      </w:r>
      <w:r w:rsidR="00447C05">
        <w:rPr>
          <w:sz w:val="20"/>
          <w:szCs w:val="20"/>
        </w:rPr>
        <w:t>:</w:t>
      </w:r>
    </w:p>
    <w:p w:rsidR="003D14B2" w:rsidRPr="005433F1" w:rsidRDefault="003D14B2" w:rsidP="007D24A9">
      <w:pPr>
        <w:rPr>
          <w:sz w:val="20"/>
          <w:szCs w:val="20"/>
        </w:rPr>
      </w:pPr>
    </w:p>
    <w:p w:rsidR="00C539BF" w:rsidRDefault="00C539BF" w:rsidP="00C539BF">
      <w:pPr>
        <w:rPr>
          <w:sz w:val="20"/>
          <w:szCs w:val="20"/>
        </w:rPr>
      </w:pPr>
      <w:r w:rsidRPr="005433F1">
        <w:rPr>
          <w:b/>
          <w:sz w:val="20"/>
          <w:szCs w:val="20"/>
        </w:rPr>
        <w:t>Interim Comprehensive Assessments (ICAs)</w:t>
      </w:r>
      <w:r w:rsidRPr="005433F1">
        <w:rPr>
          <w:sz w:val="20"/>
          <w:szCs w:val="20"/>
        </w:rPr>
        <w:t xml:space="preserve"> assess the same content and report scores on the same scale as the summative assessments.  These mirror the summative assessments in both length and structure.</w:t>
      </w:r>
    </w:p>
    <w:p w:rsidR="00C539BF" w:rsidRPr="005433F1" w:rsidRDefault="00C539BF" w:rsidP="00C539BF">
      <w:pPr>
        <w:rPr>
          <w:sz w:val="20"/>
          <w:szCs w:val="20"/>
        </w:rPr>
      </w:pPr>
    </w:p>
    <w:p w:rsidR="003D14B2" w:rsidRDefault="003D14B2" w:rsidP="00DA3B01">
      <w:pPr>
        <w:rPr>
          <w:sz w:val="20"/>
          <w:szCs w:val="20"/>
        </w:rPr>
      </w:pPr>
      <w:r w:rsidRPr="005433F1">
        <w:rPr>
          <w:b/>
          <w:sz w:val="20"/>
          <w:szCs w:val="20"/>
        </w:rPr>
        <w:t>Interim Assessment Blocks (IABs</w:t>
      </w:r>
      <w:r w:rsidRPr="005433F1">
        <w:rPr>
          <w:sz w:val="20"/>
          <w:szCs w:val="20"/>
        </w:rPr>
        <w:t>) focus on a smaller set of concepts and provide data that can be used to make timely instructional decisions to support student learning.</w:t>
      </w:r>
    </w:p>
    <w:p w:rsidR="00C539BF" w:rsidRDefault="00C539BF" w:rsidP="00DA3B01">
      <w:pPr>
        <w:rPr>
          <w:b/>
          <w:sz w:val="20"/>
          <w:szCs w:val="20"/>
        </w:rPr>
      </w:pPr>
    </w:p>
    <w:p w:rsidR="00C539BF" w:rsidRPr="00C539BF" w:rsidRDefault="00C539BF" w:rsidP="00DA3B01">
      <w:pPr>
        <w:rPr>
          <w:sz w:val="20"/>
          <w:szCs w:val="20"/>
        </w:rPr>
      </w:pPr>
      <w:r w:rsidRPr="00C539BF">
        <w:rPr>
          <w:b/>
          <w:sz w:val="20"/>
          <w:szCs w:val="20"/>
        </w:rPr>
        <w:t>Focused Interim Assessment Blocks</w:t>
      </w:r>
      <w:r>
        <w:rPr>
          <w:b/>
          <w:sz w:val="20"/>
          <w:szCs w:val="20"/>
        </w:rPr>
        <w:t xml:space="preserve"> (F</w:t>
      </w:r>
      <w:r w:rsidR="00FD795D">
        <w:rPr>
          <w:b/>
          <w:sz w:val="20"/>
          <w:szCs w:val="20"/>
        </w:rPr>
        <w:t xml:space="preserve">ocused </w:t>
      </w:r>
      <w:r>
        <w:rPr>
          <w:b/>
          <w:sz w:val="20"/>
          <w:szCs w:val="20"/>
        </w:rPr>
        <w:t xml:space="preserve">IABs) </w:t>
      </w:r>
      <w:r w:rsidRPr="00C539BF">
        <w:rPr>
          <w:sz w:val="20"/>
          <w:szCs w:val="20"/>
        </w:rPr>
        <w:t>assess no more than three assessment targets to provide educators with a more detailed understanding of student learning</w:t>
      </w:r>
      <w:r w:rsidR="00447C05">
        <w:rPr>
          <w:sz w:val="20"/>
          <w:szCs w:val="20"/>
        </w:rPr>
        <w:t>.</w:t>
      </w:r>
    </w:p>
    <w:p w:rsidR="00C539BF" w:rsidRPr="00C539BF" w:rsidRDefault="00C539BF" w:rsidP="00DA3B01">
      <w:pPr>
        <w:rPr>
          <w:sz w:val="20"/>
          <w:szCs w:val="20"/>
        </w:rPr>
      </w:pPr>
    </w:p>
    <w:p w:rsidR="003D14B2" w:rsidRPr="005433F1" w:rsidRDefault="00265636" w:rsidP="00DA3B01">
      <w:pPr>
        <w:rPr>
          <w:sz w:val="20"/>
          <w:szCs w:val="20"/>
        </w:rPr>
      </w:pPr>
      <w:r>
        <w:rPr>
          <w:sz w:val="20"/>
          <w:szCs w:val="20"/>
        </w:rPr>
        <w:t xml:space="preserve">Smarter Balanced Interim Assessments </w:t>
      </w:r>
      <w:r w:rsidR="008951B5">
        <w:rPr>
          <w:sz w:val="20"/>
          <w:szCs w:val="20"/>
        </w:rPr>
        <w:t>allow teachers to check student learning throughout the school year, giving them information they can use</w:t>
      </w:r>
      <w:r w:rsidR="00397C80">
        <w:rPr>
          <w:sz w:val="20"/>
          <w:szCs w:val="20"/>
        </w:rPr>
        <w:t xml:space="preserve"> to target their teaching to fill gaps and move students forward.</w:t>
      </w:r>
    </w:p>
    <w:p w:rsidR="003D14B2" w:rsidRPr="005433F1" w:rsidRDefault="003D14B2" w:rsidP="00DA3B01">
      <w:pPr>
        <w:rPr>
          <w:sz w:val="20"/>
          <w:szCs w:val="20"/>
        </w:rPr>
      </w:pPr>
    </w:p>
    <w:p w:rsidR="003D14B2" w:rsidRPr="005433F1" w:rsidRDefault="003D14B2" w:rsidP="00DA3B01">
      <w:pPr>
        <w:rPr>
          <w:sz w:val="20"/>
          <w:szCs w:val="20"/>
        </w:rPr>
      </w:pPr>
      <w:r w:rsidRPr="005433F1">
        <w:rPr>
          <w:sz w:val="20"/>
          <w:szCs w:val="20"/>
        </w:rPr>
        <w:t>If there are questions regarding the specific use of the interim assessments, please contact your child’s school</w:t>
      </w:r>
      <w:r w:rsidR="00491FD0" w:rsidRPr="005433F1">
        <w:rPr>
          <w:sz w:val="20"/>
          <w:szCs w:val="20"/>
        </w:rPr>
        <w:t>.</w:t>
      </w:r>
    </w:p>
    <w:p w:rsidR="00491FD0" w:rsidRPr="005433F1" w:rsidRDefault="00491FD0" w:rsidP="00DA3B01">
      <w:pPr>
        <w:rPr>
          <w:sz w:val="20"/>
          <w:szCs w:val="20"/>
        </w:rPr>
      </w:pPr>
    </w:p>
    <w:p w:rsidR="00491FD0" w:rsidRPr="005433F1" w:rsidRDefault="00491FD0" w:rsidP="00DA3B01">
      <w:pPr>
        <w:rPr>
          <w:sz w:val="20"/>
          <w:szCs w:val="20"/>
        </w:rPr>
      </w:pPr>
      <w:r w:rsidRPr="005433F1">
        <w:rPr>
          <w:sz w:val="20"/>
          <w:szCs w:val="20"/>
        </w:rPr>
        <w:t xml:space="preserve">For more information on the Smarter Balanced Assessment Consortium, please visit </w:t>
      </w:r>
      <w:hyperlink r:id="rId7" w:history="1">
        <w:r w:rsidRPr="005433F1">
          <w:rPr>
            <w:rStyle w:val="Hyperlink"/>
            <w:sz w:val="20"/>
            <w:szCs w:val="20"/>
          </w:rPr>
          <w:t>http://www.smarterbalanced.org/parents/</w:t>
        </w:r>
      </w:hyperlink>
      <w:r w:rsidR="005B4EFA" w:rsidRPr="005433F1">
        <w:rPr>
          <w:sz w:val="20"/>
          <w:szCs w:val="20"/>
        </w:rPr>
        <w:t>.</w:t>
      </w:r>
    </w:p>
    <w:p w:rsidR="003D14B2" w:rsidRPr="005433F1" w:rsidRDefault="003D14B2" w:rsidP="00DA3B01">
      <w:pPr>
        <w:rPr>
          <w:sz w:val="20"/>
          <w:szCs w:val="20"/>
        </w:rPr>
      </w:pPr>
    </w:p>
    <w:p w:rsidR="005433F1" w:rsidRDefault="00351431" w:rsidP="00DA3B01">
      <w:pPr>
        <w:rPr>
          <w:sz w:val="20"/>
          <w:szCs w:val="20"/>
        </w:rPr>
      </w:pPr>
      <w:r w:rsidRPr="005433F1">
        <w:rPr>
          <w:sz w:val="20"/>
          <w:szCs w:val="20"/>
        </w:rPr>
        <w:t>Para mds información</w:t>
      </w:r>
      <w:r w:rsidR="005B4EFA" w:rsidRPr="005433F1">
        <w:rPr>
          <w:sz w:val="20"/>
          <w:szCs w:val="20"/>
        </w:rPr>
        <w:t xml:space="preserve"> </w:t>
      </w:r>
      <w:r w:rsidRPr="005433F1">
        <w:rPr>
          <w:sz w:val="20"/>
          <w:szCs w:val="20"/>
        </w:rPr>
        <w:t>en espanol, por favor visite</w:t>
      </w:r>
      <w:r w:rsidR="005B4EFA" w:rsidRPr="005433F1">
        <w:rPr>
          <w:sz w:val="20"/>
          <w:szCs w:val="20"/>
        </w:rPr>
        <w:t xml:space="preserve"> </w:t>
      </w:r>
      <w:hyperlink r:id="rId8" w:history="1">
        <w:r w:rsidR="00BF2624" w:rsidRPr="005433F1">
          <w:rPr>
            <w:rStyle w:val="Hyperlink"/>
            <w:sz w:val="20"/>
            <w:szCs w:val="20"/>
          </w:rPr>
          <w:t>http://www.smarterbalanced.org/en-espanol/</w:t>
        </w:r>
      </w:hyperlink>
      <w:r w:rsidR="00BF2624" w:rsidRPr="005433F1">
        <w:rPr>
          <w:sz w:val="20"/>
          <w:szCs w:val="20"/>
        </w:rPr>
        <w:t>.</w:t>
      </w:r>
    </w:p>
    <w:p w:rsidR="005433F1" w:rsidRP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5433F1" w:rsidRDefault="005433F1" w:rsidP="005433F1">
      <w:pPr>
        <w:rPr>
          <w:sz w:val="20"/>
          <w:szCs w:val="20"/>
        </w:rPr>
      </w:pPr>
    </w:p>
    <w:p w:rsidR="005433F1" w:rsidRPr="005433F1" w:rsidRDefault="005433F1" w:rsidP="005433F1">
      <w:pPr>
        <w:rPr>
          <w:sz w:val="20"/>
          <w:szCs w:val="20"/>
        </w:rPr>
      </w:pPr>
    </w:p>
    <w:p w:rsidR="00167A97" w:rsidRPr="005433F1" w:rsidRDefault="005433F1" w:rsidP="005433F1">
      <w:pPr>
        <w:tabs>
          <w:tab w:val="left" w:pos="842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67A97" w:rsidRPr="005433F1" w:rsidSect="005433F1">
      <w:footerReference w:type="default" r:id="rId9"/>
      <w:pgSz w:w="12240" w:h="15840"/>
      <w:pgMar w:top="1440" w:right="1710" w:bottom="1440" w:left="1620" w:header="720" w:footer="10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9E" w:rsidRDefault="00172F9E" w:rsidP="005B4EFA">
      <w:r>
        <w:separator/>
      </w:r>
    </w:p>
  </w:endnote>
  <w:endnote w:type="continuationSeparator" w:id="0">
    <w:p w:rsidR="00172F9E" w:rsidRDefault="00172F9E" w:rsidP="005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FA" w:rsidRPr="005B4EFA" w:rsidRDefault="005B4EFA">
    <w:pPr>
      <w:pStyle w:val="Footer"/>
      <w:rPr>
        <w:sz w:val="20"/>
        <w:szCs w:val="20"/>
      </w:rPr>
    </w:pPr>
    <w:r w:rsidRPr="005B4EFA">
      <w:rPr>
        <w:sz w:val="20"/>
        <w:szCs w:val="20"/>
      </w:rPr>
      <w:t>Curriculum, Instruction, and Assessment Unit</w:t>
    </w:r>
    <w:r w:rsidR="00351431">
      <w:rPr>
        <w:sz w:val="20"/>
        <w:szCs w:val="20"/>
      </w:rPr>
      <w:t xml:space="preserve">                                  </w:t>
    </w:r>
    <w:r w:rsidR="005433F1">
      <w:rPr>
        <w:sz w:val="20"/>
        <w:szCs w:val="20"/>
      </w:rPr>
      <w:tab/>
      <w:t>September</w:t>
    </w:r>
    <w:r w:rsidRPr="005B4EFA">
      <w:rPr>
        <w:sz w:val="20"/>
        <w:szCs w:val="20"/>
      </w:rPr>
      <w:t xml:space="preserve"> 2019</w:t>
    </w:r>
  </w:p>
  <w:p w:rsidR="005B4EFA" w:rsidRDefault="005B4EFA">
    <w:pPr>
      <w:pStyle w:val="Footer"/>
    </w:pPr>
    <w:r w:rsidRPr="005B4EFA">
      <w:rPr>
        <w:sz w:val="20"/>
        <w:szCs w:val="20"/>
      </w:rPr>
      <w:t>Assessment Department</w:t>
    </w:r>
    <w:r w:rsidRPr="005B4EFA">
      <w:rPr>
        <w:sz w:val="20"/>
        <w:szCs w:val="20"/>
      </w:rPr>
      <w:tab/>
    </w:r>
    <w:r w:rsidRPr="005B4EF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9E" w:rsidRDefault="00172F9E" w:rsidP="005B4EFA">
      <w:r>
        <w:separator/>
      </w:r>
    </w:p>
  </w:footnote>
  <w:footnote w:type="continuationSeparator" w:id="0">
    <w:p w:rsidR="00172F9E" w:rsidRDefault="00172F9E" w:rsidP="005B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9"/>
    <w:rsid w:val="00167A97"/>
    <w:rsid w:val="00172F9E"/>
    <w:rsid w:val="001B4D79"/>
    <w:rsid w:val="0025364B"/>
    <w:rsid w:val="00265636"/>
    <w:rsid w:val="003443FD"/>
    <w:rsid w:val="00351431"/>
    <w:rsid w:val="00397C80"/>
    <w:rsid w:val="003D14B2"/>
    <w:rsid w:val="00447C05"/>
    <w:rsid w:val="00491FD0"/>
    <w:rsid w:val="005433F1"/>
    <w:rsid w:val="0057222F"/>
    <w:rsid w:val="005B4EFA"/>
    <w:rsid w:val="007C120D"/>
    <w:rsid w:val="007D24A9"/>
    <w:rsid w:val="00804358"/>
    <w:rsid w:val="008951B5"/>
    <w:rsid w:val="008B1B5F"/>
    <w:rsid w:val="00A531C8"/>
    <w:rsid w:val="00B24415"/>
    <w:rsid w:val="00BF2624"/>
    <w:rsid w:val="00C539BF"/>
    <w:rsid w:val="00D461FF"/>
    <w:rsid w:val="00DA3B01"/>
    <w:rsid w:val="00DA5260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54B62"/>
  <w15:chartTrackingRefBased/>
  <w15:docId w15:val="{A1E4B5A5-9508-4A35-B64C-54ACB847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F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FA"/>
  </w:style>
  <w:style w:type="paragraph" w:styleId="Footer">
    <w:name w:val="footer"/>
    <w:basedOn w:val="Normal"/>
    <w:link w:val="FooterChar"/>
    <w:uiPriority w:val="99"/>
    <w:unhideWhenUsed/>
    <w:rsid w:val="005B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EFA"/>
  </w:style>
  <w:style w:type="paragraph" w:styleId="BalloonText">
    <w:name w:val="Balloon Text"/>
    <w:basedOn w:val="Normal"/>
    <w:link w:val="BalloonTextChar"/>
    <w:uiPriority w:val="99"/>
    <w:semiHidden/>
    <w:unhideWhenUsed/>
    <w:rsid w:val="001B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rbalanced.org/en-espan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erbalanced.org/par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D5E6-9B2D-4E70-9FEA-A0E37BAE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DBurns</dc:creator>
  <cp:keywords/>
  <dc:description/>
  <cp:lastModifiedBy>DBurns</cp:lastModifiedBy>
  <cp:revision>2</cp:revision>
  <cp:lastPrinted>2019-09-23T20:12:00Z</cp:lastPrinted>
  <dcterms:created xsi:type="dcterms:W3CDTF">2019-09-23T20:35:00Z</dcterms:created>
  <dcterms:modified xsi:type="dcterms:W3CDTF">2019-09-23T20:35:00Z</dcterms:modified>
</cp:coreProperties>
</file>